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2130"/>
        <w:gridCol w:w="4641"/>
        <w:gridCol w:w="1050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9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Style w:val="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4"/>
                <w:rFonts w:hint="eastAsia" w:ascii="Times New Roman" w:hAnsi="Times New Roman" w:eastAsia="方正黑体_GBK" w:cs="Times New Roman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202</w:t>
            </w:r>
            <w:r>
              <w:rPr>
                <w:rStyle w:val="4"/>
                <w:rFonts w:hint="eastAsia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年校级教学改革项目课程思政专项</w:t>
            </w:r>
            <w:r>
              <w:rPr>
                <w:rStyle w:val="5"/>
                <w:rFonts w:hint="eastAsia" w:ascii="Times New Roman" w:hAnsi="Times New Roman" w:cs="Times New Roman"/>
                <w:lang w:val="en-US" w:eastAsia="zh-CN" w:bidi="ar"/>
              </w:rPr>
              <w:t>结题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项目编号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项目类别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GZYKCSZ001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基于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-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课程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-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课堂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三阶层一体化设计理念下的课程思政教学改革路径研究与实践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重点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GZYKCSZ002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立德树人视域下《电子产品销售与管理》课程思政实</w:t>
            </w:r>
            <w:bookmarkStart w:id="0" w:name="_GoBack"/>
            <w:bookmarkEnd w:id="0"/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施路径探究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重点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冉鸿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GZYKCSZ003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乡村振兴战略背景下《新农村经济建设职业能力提升》课程思政教学改革创新研究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重点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刘王德馨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GZYKCSZ004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思想政治教育融入专业课程教育实施路径研究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重点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黄雅恒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GZYKCSZ005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职业院校继续教育课程思政教学体系构建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重点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杨良浩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GZYKCSZ006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《汽车服务顾问》课程思政提质增效的实践路径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赵鹏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GZYKCSZ007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《机械产品质量检测》课程思政教学改革探究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周蔚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GZYKCSZ008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制造装备类高职教材思政开发探索与融入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刘民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GZYKCSZ009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课程思政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理念下《数据结构与算法》课程建设探索与实践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郭彦芳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GZYKCSZ010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基于信息安全与风险评估的高职课程思政路径探索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胡圣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GZYKCSZ011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大思政课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背景下思政实践教学在《金融基础》课程中的应用研究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李畅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GZYKCSZ012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课程思政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视域下工业精神在《专业导论（设）》课程中的应用研究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彭明朗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GZYKCSZ013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机电设备技术专业课程思政教学指南研究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刘俊熙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GZYKCSZ014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机电一体化专业课程思政教学评价体系构建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杨梦娟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GZYKCSZ015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《药物化学》课程思政内容的梳理与实施研究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屈琦超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GZYKCSZ016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四纵四横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架构下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五元五联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课程思政教学体系的构建与实践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宋阳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GZYKCSZ017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高职院校建筑工程技术专业融入思政元素探索与实践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以《建筑法规》课程为例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曾子芳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GZYKCSZ018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课程思政视阈下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三维联动，德技并修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《安装工程计量与计价》教学改革实践研究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龙娇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GZYKCSZ019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以学生为中心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课程思政教学评价体系构建研究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刘晗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GZYKCSZ020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课程思政内涵建设质效提升长效机制研究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>——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以人文素质类课程为例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邹佩佚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GZYKCSZ021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文化自信视阈下高职旅游专业课程思政教学设计研究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袁隆敏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GZYKCSZ022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高职院校《职业生涯规划》课程思政的改革探索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余梦婕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GZYKCSZ023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高职院校课程思政教学质量保障体系研究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杨林欣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GZYKCSZ024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高职院校艺术类专业课程思政建设路径创新研究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王馨雨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GZYKCSZ025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高职院校财会专业课程思政教学改革研究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王馨瑜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ODZhYWEwMjE1MGEwN2M4YmZhYmVmMDU0ZmRjM2UifQ=="/>
  </w:docVars>
  <w:rsids>
    <w:rsidRoot w:val="2CF72948"/>
    <w:rsid w:val="2CF72948"/>
    <w:rsid w:val="7BF1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5">
    <w:name w:val="font51"/>
    <w:basedOn w:val="3"/>
    <w:autoRedefine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6">
    <w:name w:val="font61"/>
    <w:basedOn w:val="3"/>
    <w:autoRedefine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71"/>
    <w:basedOn w:val="3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31"/>
    <w:basedOn w:val="3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81"/>
    <w:basedOn w:val="3"/>
    <w:autoRedefine/>
    <w:qFormat/>
    <w:uiPriority w:val="0"/>
    <w:rPr>
      <w:rFonts w:hint="eastAsia" w:ascii="仿宋_GB2312" w:eastAsia="仿宋_GB2312" w:cs="仿宋_GB2312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2024-03-20T01:15:00Z</dcterms:created>
  <dc:creator>饶婉琳</dc:creator>
  <cp:lastModifiedBy>饶婉琳</cp:lastModifiedBy>
  <dcterms:modified xsi:type="dcterms:W3CDTF">2024-03-21T06:23:43Z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C068F756054D41098194A51DF391C946_11</vt:lpwstr>
  </property>
</Properties>
</file>